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numPr>
          <w:ilvl w:val="0"/>
          <w:numId w:val="2"/>
        </w:numPr>
        <w:ind w:firstLineChars="0"/>
        <w:rPr>
          <w:rFonts w:ascii="微软雅黑" w:hAnsi="微软雅黑" w:eastAsia="微软雅黑"/>
          <w:b/>
          <w:sz w:val="24"/>
          <w:szCs w:val="24"/>
        </w:rPr>
      </w:pPr>
      <w:r>
        <w:rPr>
          <w:rFonts w:hint="eastAsia" w:ascii="微软雅黑" w:hAnsi="微软雅黑" w:eastAsia="微软雅黑"/>
          <w:b/>
          <w:sz w:val="24"/>
          <w:szCs w:val="24"/>
        </w:rPr>
        <w:t>项目文字介绍（300字左右）</w:t>
      </w:r>
    </w:p>
    <w:p>
      <w:pPr>
        <w:spacing w:line="360" w:lineRule="auto"/>
        <w:ind w:left="0" w:leftChars="0" w:firstLine="420" w:firstLineChars="175"/>
        <w:rPr>
          <w:rFonts w:hint="eastAsia" w:ascii="微软雅黑" w:hAnsi="微软雅黑" w:eastAsia="微软雅黑"/>
          <w:lang w:eastAsia="zh-CN"/>
        </w:rPr>
      </w:pPr>
      <w:r>
        <w:rPr>
          <w:rFonts w:hint="eastAsia" w:asciiTheme="minorEastAsia" w:hAnsiTheme="minorEastAsia" w:eastAsiaTheme="minorEastAsia" w:cstheme="minorEastAsia"/>
          <w:sz w:val="24"/>
          <w:szCs w:val="24"/>
        </w:rPr>
        <w:t>贵州省是生态环境部确定的全国生态大数据试点省</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十三五期间，贵州省在生态环境监测数据信息化建设方面做了很多工作</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为了满足日益提高的</w:t>
      </w:r>
      <w:r>
        <w:rPr>
          <w:rFonts w:hint="eastAsia" w:asciiTheme="minorEastAsia" w:hAnsiTheme="minorEastAsia" w:cstheme="minorEastAsia"/>
          <w:sz w:val="24"/>
          <w:szCs w:val="24"/>
          <w:lang w:val="en-US" w:eastAsia="zh-CN"/>
        </w:rPr>
        <w:t>生态环境保护</w:t>
      </w:r>
      <w:r>
        <w:rPr>
          <w:rFonts w:hint="eastAsia" w:asciiTheme="minorEastAsia" w:hAnsiTheme="minorEastAsia" w:eastAsiaTheme="minorEastAsia" w:cstheme="minorEastAsia"/>
          <w:sz w:val="24"/>
          <w:szCs w:val="24"/>
        </w:rPr>
        <w:t>需求，对各类环境监测数据信息系统</w:t>
      </w:r>
      <w:r>
        <w:rPr>
          <w:rFonts w:hint="eastAsia" w:asciiTheme="minorEastAsia" w:hAnsiTheme="minorEastAsia" w:cstheme="minorEastAsia"/>
          <w:sz w:val="24"/>
          <w:szCs w:val="24"/>
          <w:lang w:val="en-US" w:eastAsia="zh-CN"/>
        </w:rPr>
        <w:t>和数据</w:t>
      </w:r>
      <w:r>
        <w:rPr>
          <w:rFonts w:hint="eastAsia" w:asciiTheme="minorEastAsia" w:hAnsiTheme="minorEastAsia" w:eastAsiaTheme="minorEastAsia" w:cstheme="minorEastAsia"/>
          <w:sz w:val="24"/>
          <w:szCs w:val="24"/>
        </w:rPr>
        <w:t>进行集成整合，建立了贵州省</w:t>
      </w:r>
      <w:r>
        <w:rPr>
          <w:rFonts w:hint="eastAsia" w:asciiTheme="minorEastAsia" w:hAnsiTheme="minorEastAsia" w:eastAsiaTheme="minorEastAsia" w:cstheme="minorEastAsia"/>
          <w:sz w:val="24"/>
          <w:szCs w:val="24"/>
          <w:lang w:val="en-US" w:eastAsia="zh-CN"/>
        </w:rPr>
        <w:t>环境质量数据库</w:t>
      </w:r>
      <w:r>
        <w:rPr>
          <w:rFonts w:hint="eastAsia" w:asciiTheme="minorEastAsia" w:hAnsiTheme="minorEastAsia" w:eastAsiaTheme="minorEastAsia" w:cstheme="minorEastAsia"/>
          <w:sz w:val="24"/>
          <w:szCs w:val="24"/>
        </w:rPr>
        <w:t>。本系统全面集成了数十年来的生态环境监测大数据，</w:t>
      </w:r>
      <w:r>
        <w:rPr>
          <w:rFonts w:hint="eastAsia" w:asciiTheme="minorEastAsia" w:hAnsiTheme="minorEastAsia" w:eastAsiaTheme="minorEastAsia" w:cstheme="minorEastAsia"/>
          <w:snapToGrid w:val="0"/>
          <w:sz w:val="24"/>
          <w:szCs w:val="24"/>
          <w:lang w:val="en-US" w:eastAsia="zh-CN"/>
        </w:rPr>
        <w:t>覆盖了气环境、水环境、声环境、农村环境、生态</w:t>
      </w:r>
      <w:r>
        <w:rPr>
          <w:rFonts w:hint="eastAsia" w:asciiTheme="minorEastAsia" w:hAnsiTheme="minorEastAsia" w:cstheme="minorEastAsia"/>
          <w:snapToGrid w:val="0"/>
          <w:sz w:val="24"/>
          <w:szCs w:val="24"/>
          <w:lang w:val="en-US" w:eastAsia="zh-CN"/>
        </w:rPr>
        <w:t>环境</w:t>
      </w:r>
      <w:r>
        <w:rPr>
          <w:rFonts w:hint="eastAsia" w:asciiTheme="minorEastAsia" w:hAnsiTheme="minorEastAsia" w:eastAsiaTheme="minorEastAsia" w:cstheme="minorEastAsia"/>
          <w:snapToGrid w:val="0"/>
          <w:sz w:val="24"/>
          <w:szCs w:val="24"/>
          <w:lang w:val="en-US" w:eastAsia="zh-CN"/>
        </w:rPr>
        <w:t>等总共16个</w:t>
      </w:r>
      <w:r>
        <w:rPr>
          <w:rFonts w:hint="eastAsia" w:asciiTheme="minorEastAsia" w:hAnsiTheme="minorEastAsia" w:cstheme="minorEastAsia"/>
          <w:snapToGrid w:val="0"/>
          <w:sz w:val="24"/>
          <w:szCs w:val="24"/>
          <w:lang w:val="en-US" w:eastAsia="zh-CN"/>
        </w:rPr>
        <w:t>环境要素</w:t>
      </w:r>
      <w:r>
        <w:rPr>
          <w:rFonts w:hint="eastAsia" w:asciiTheme="minorEastAsia" w:hAnsiTheme="minorEastAsia" w:eastAsiaTheme="minorEastAsia" w:cstheme="minorEastAsia"/>
          <w:b w:val="0"/>
          <w:bCs w:val="0"/>
          <w:snapToGrid w:val="0"/>
          <w:sz w:val="24"/>
          <w:szCs w:val="24"/>
          <w:lang w:val="en-US" w:eastAsia="zh-CN"/>
        </w:rPr>
        <w:t>。</w:t>
      </w:r>
      <w:r>
        <w:rPr>
          <w:rFonts w:hint="eastAsia" w:asciiTheme="minorEastAsia" w:hAnsiTheme="minorEastAsia" w:eastAsiaTheme="minorEastAsia" w:cstheme="minorEastAsia"/>
          <w:sz w:val="24"/>
          <w:szCs w:val="24"/>
        </w:rPr>
        <w:t>充分运用云平台、云计算、大数据分析、GIS分析等</w:t>
      </w:r>
      <w:r>
        <w:rPr>
          <w:rFonts w:hint="eastAsia" w:asciiTheme="minorEastAsia" w:hAnsiTheme="minorEastAsia" w:cstheme="minorEastAsia"/>
          <w:sz w:val="24"/>
          <w:szCs w:val="24"/>
          <w:lang w:val="en-US" w:eastAsia="zh-CN"/>
        </w:rPr>
        <w:t>多元技术形式</w:t>
      </w:r>
      <w:r>
        <w:rPr>
          <w:rFonts w:hint="eastAsia" w:asciiTheme="minorEastAsia" w:hAnsiTheme="minorEastAsia" w:eastAsiaTheme="minorEastAsia" w:cstheme="minorEastAsia"/>
          <w:sz w:val="24"/>
          <w:szCs w:val="24"/>
        </w:rPr>
        <w:t>，对生态环境质量进行深入的科学分析、综合评价、实时监管、综合展示。打通了数据壁垒，形成统一的环境管理数据综合应用系统。</w:t>
      </w:r>
    </w:p>
    <w:p>
      <w:pPr>
        <w:pStyle w:val="7"/>
        <w:numPr>
          <w:ilvl w:val="0"/>
          <w:numId w:val="0"/>
        </w:numPr>
        <w:tabs>
          <w:tab w:val="left" w:pos="2631"/>
          <w:tab w:val="left" w:pos="2886"/>
        </w:tabs>
        <w:ind w:leftChars="0"/>
        <w:rPr>
          <w:rFonts w:hint="eastAsia" w:ascii="微软雅黑" w:hAnsi="微软雅黑" w:eastAsia="微软雅黑"/>
          <w:b/>
          <w:sz w:val="24"/>
          <w:szCs w:val="24"/>
        </w:rPr>
      </w:pPr>
      <w:r>
        <w:rPr>
          <w:rFonts w:hint="eastAsia" w:ascii="微软雅黑" w:hAnsi="微软雅黑" w:eastAsia="微软雅黑"/>
          <w:b/>
          <w:sz w:val="24"/>
          <w:szCs w:val="24"/>
          <w:lang w:val="en-US" w:eastAsia="zh-CN"/>
        </w:rPr>
        <w:t>二、</w:t>
      </w:r>
      <w:r>
        <w:rPr>
          <w:rFonts w:hint="eastAsia" w:ascii="微软雅黑" w:hAnsi="微软雅黑" w:eastAsia="微软雅黑"/>
          <w:b/>
          <w:sz w:val="24"/>
          <w:szCs w:val="24"/>
        </w:rPr>
        <w:t>特色功能截图</w:t>
      </w:r>
    </w:p>
    <w:p>
      <w:pPr>
        <w:pStyle w:val="7"/>
        <w:numPr>
          <w:ilvl w:val="0"/>
          <w:numId w:val="0"/>
        </w:numPr>
        <w:tabs>
          <w:tab w:val="left" w:pos="2631"/>
          <w:tab w:val="left" w:pos="2886"/>
        </w:tabs>
        <w:ind w:leftChars="0"/>
        <w:rPr>
          <w:rFonts w:hint="default" w:ascii="微软雅黑" w:hAnsi="微软雅黑" w:eastAsia="微软雅黑"/>
          <w:b/>
          <w:sz w:val="24"/>
          <w:szCs w:val="24"/>
          <w:lang w:val="en-US"/>
        </w:rPr>
      </w:pPr>
      <w:r>
        <w:rPr>
          <w:rFonts w:hint="eastAsia" w:ascii="微软雅黑" w:hAnsi="微软雅黑" w:eastAsia="微软雅黑"/>
          <w:b/>
          <w:sz w:val="24"/>
          <w:szCs w:val="24"/>
          <w:lang w:val="en-US" w:eastAsia="zh-CN"/>
        </w:rPr>
        <w:t>1、系统主界面总览</w:t>
      </w:r>
    </w:p>
    <w:p>
      <w:pPr>
        <w:pStyle w:val="7"/>
        <w:numPr>
          <w:ilvl w:val="0"/>
          <w:numId w:val="0"/>
        </w:numPr>
        <w:tabs>
          <w:tab w:val="left" w:pos="2151"/>
        </w:tabs>
        <w:ind w:leftChars="0"/>
        <w:rPr>
          <w:rFonts w:hint="eastAsia" w:ascii="微软雅黑" w:hAnsi="微软雅黑" w:eastAsia="微软雅黑"/>
          <w:b/>
          <w:sz w:val="24"/>
          <w:szCs w:val="24"/>
          <w:lang w:eastAsia="zh-CN"/>
        </w:rPr>
      </w:pPr>
      <w:r>
        <w:drawing>
          <wp:inline distT="0" distB="0" distL="114300" distR="114300">
            <wp:extent cx="5367655" cy="2433955"/>
            <wp:effectExtent l="0" t="0" r="4445"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5367655" cy="2433955"/>
                    </a:xfrm>
                    <a:prstGeom prst="rect">
                      <a:avLst/>
                    </a:prstGeom>
                    <a:noFill/>
                    <a:ln>
                      <a:noFill/>
                    </a:ln>
                  </pic:spPr>
                </pic:pic>
              </a:graphicData>
            </a:graphic>
          </wp:inline>
        </w:drawing>
      </w:r>
    </w:p>
    <w:p>
      <w:pPr>
        <w:pStyle w:val="7"/>
        <w:numPr>
          <w:ilvl w:val="0"/>
          <w:numId w:val="0"/>
        </w:numPr>
        <w:tabs>
          <w:tab w:val="left" w:pos="696"/>
        </w:tabs>
        <w:ind w:leftChars="0"/>
        <w:rPr>
          <w:rFonts w:ascii="微软雅黑" w:hAnsi="微软雅黑" w:eastAsia="微软雅黑"/>
          <w:b/>
          <w:sz w:val="24"/>
          <w:szCs w:val="24"/>
        </w:rPr>
      </w:pPr>
      <w:r>
        <w:rPr>
          <w:rFonts w:hint="eastAsia" w:ascii="微软雅黑" w:hAnsi="微软雅黑" w:eastAsia="微软雅黑"/>
          <w:b/>
          <w:sz w:val="24"/>
          <w:szCs w:val="24"/>
          <w:lang w:val="en-US" w:eastAsia="zh-CN"/>
        </w:rPr>
        <w:t>2、中心数据库总览</w:t>
      </w:r>
    </w:p>
    <w:p>
      <w:pPr>
        <w:tabs>
          <w:tab w:val="left" w:pos="1731"/>
        </w:tabs>
      </w:pPr>
      <w:bookmarkStart w:id="0" w:name="_GoBack"/>
      <w:r>
        <w:drawing>
          <wp:inline distT="0" distB="0" distL="114300" distR="114300">
            <wp:extent cx="5271135" cy="2409190"/>
            <wp:effectExtent l="0" t="0" r="5715" b="1016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
                    <a:stretch>
                      <a:fillRect/>
                    </a:stretch>
                  </pic:blipFill>
                  <pic:spPr>
                    <a:xfrm>
                      <a:off x="0" y="0"/>
                      <a:ext cx="5271135" cy="2409190"/>
                    </a:xfrm>
                    <a:prstGeom prst="rect">
                      <a:avLst/>
                    </a:prstGeom>
                    <a:noFill/>
                    <a:ln>
                      <a:noFill/>
                    </a:ln>
                  </pic:spPr>
                </pic:pic>
              </a:graphicData>
            </a:graphic>
          </wp:inline>
        </w:drawing>
      </w:r>
      <w:bookmarkEnd w:id="0"/>
    </w:p>
    <w:p>
      <w:pPr>
        <w:numPr>
          <w:ilvl w:val="0"/>
          <w:numId w:val="0"/>
        </w:numPr>
        <w:tabs>
          <w:tab w:val="left" w:pos="1731"/>
        </w:tabs>
        <w:ind w:leftChars="0"/>
        <w:rPr>
          <w:rFonts w:hint="eastAsia"/>
          <w:lang w:val="en-US" w:eastAsia="zh-CN"/>
        </w:rPr>
      </w:pPr>
      <w:r>
        <w:rPr>
          <w:rFonts w:hint="eastAsia"/>
          <w:lang w:val="en-US" w:eastAsia="zh-CN"/>
        </w:rPr>
        <w:t>3、数据管理总览</w:t>
      </w:r>
    </w:p>
    <w:p>
      <w:pPr>
        <w:widowControl w:val="0"/>
        <w:numPr>
          <w:ilvl w:val="0"/>
          <w:numId w:val="0"/>
        </w:numPr>
        <w:tabs>
          <w:tab w:val="left" w:pos="1041"/>
        </w:tabs>
        <w:jc w:val="both"/>
      </w:pPr>
      <w:r>
        <w:rPr>
          <w:rFonts w:hint="eastAsia"/>
          <w:lang w:val="en-US" w:eastAsia="zh-CN"/>
        </w:rPr>
        <w:tab/>
      </w:r>
      <w:r>
        <w:drawing>
          <wp:inline distT="0" distB="0" distL="114300" distR="114300">
            <wp:extent cx="5261610" cy="2399665"/>
            <wp:effectExtent l="0" t="0" r="15240" b="6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
                    <a:stretch>
                      <a:fillRect/>
                    </a:stretch>
                  </pic:blipFill>
                  <pic:spPr>
                    <a:xfrm>
                      <a:off x="0" y="0"/>
                      <a:ext cx="5261610" cy="2399665"/>
                    </a:xfrm>
                    <a:prstGeom prst="rect">
                      <a:avLst/>
                    </a:prstGeom>
                    <a:noFill/>
                    <a:ln>
                      <a:noFill/>
                    </a:ln>
                  </pic:spPr>
                </pic:pic>
              </a:graphicData>
            </a:graphic>
          </wp:inline>
        </w:drawing>
      </w:r>
    </w:p>
    <w:p>
      <w:pPr>
        <w:widowControl w:val="0"/>
        <w:numPr>
          <w:ilvl w:val="0"/>
          <w:numId w:val="3"/>
        </w:numPr>
        <w:tabs>
          <w:tab w:val="left" w:pos="1041"/>
        </w:tabs>
        <w:jc w:val="both"/>
        <w:rPr>
          <w:rFonts w:hint="eastAsia"/>
          <w:lang w:val="en-US" w:eastAsia="zh-CN"/>
        </w:rPr>
      </w:pPr>
      <w:r>
        <w:rPr>
          <w:rFonts w:hint="eastAsia"/>
          <w:lang w:val="en-US" w:eastAsia="zh-CN"/>
        </w:rPr>
        <w:t>报表及报告功能</w:t>
      </w:r>
    </w:p>
    <w:p>
      <w:pPr>
        <w:widowControl w:val="0"/>
        <w:numPr>
          <w:ilvl w:val="0"/>
          <w:numId w:val="0"/>
        </w:numPr>
        <w:tabs>
          <w:tab w:val="left" w:pos="1041"/>
        </w:tabs>
        <w:jc w:val="both"/>
      </w:pPr>
      <w:r>
        <w:drawing>
          <wp:inline distT="0" distB="0" distL="114300" distR="114300">
            <wp:extent cx="5261610" cy="2403475"/>
            <wp:effectExtent l="0" t="0" r="15240" b="158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7"/>
                    <a:stretch>
                      <a:fillRect/>
                    </a:stretch>
                  </pic:blipFill>
                  <pic:spPr>
                    <a:xfrm>
                      <a:off x="0" y="0"/>
                      <a:ext cx="5261610" cy="2403475"/>
                    </a:xfrm>
                    <a:prstGeom prst="rect">
                      <a:avLst/>
                    </a:prstGeom>
                    <a:noFill/>
                    <a:ln>
                      <a:noFill/>
                    </a:ln>
                  </pic:spPr>
                </pic:pic>
              </a:graphicData>
            </a:graphic>
          </wp:inline>
        </w:drawing>
      </w:r>
    </w:p>
    <w:p>
      <w:pPr>
        <w:widowControl w:val="0"/>
        <w:numPr>
          <w:ilvl w:val="0"/>
          <w:numId w:val="0"/>
        </w:numPr>
        <w:tabs>
          <w:tab w:val="left" w:pos="1041"/>
        </w:tabs>
        <w:jc w:val="both"/>
      </w:pPr>
    </w:p>
    <w:p>
      <w:pPr>
        <w:widowControl w:val="0"/>
        <w:numPr>
          <w:ilvl w:val="0"/>
          <w:numId w:val="0"/>
        </w:numPr>
        <w:tabs>
          <w:tab w:val="left" w:pos="1041"/>
        </w:tabs>
        <w:jc w:val="both"/>
      </w:pPr>
    </w:p>
    <w:p>
      <w:pPr>
        <w:widowControl w:val="0"/>
        <w:numPr>
          <w:ilvl w:val="0"/>
          <w:numId w:val="0"/>
        </w:numPr>
        <w:tabs>
          <w:tab w:val="left" w:pos="1041"/>
        </w:tabs>
        <w:jc w:val="both"/>
      </w:pPr>
      <w:r>
        <w:drawing>
          <wp:inline distT="0" distB="0" distL="114300" distR="114300">
            <wp:extent cx="5271135" cy="2416810"/>
            <wp:effectExtent l="0" t="0" r="5715" b="254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8"/>
                    <a:stretch>
                      <a:fillRect/>
                    </a:stretch>
                  </pic:blipFill>
                  <pic:spPr>
                    <a:xfrm>
                      <a:off x="0" y="0"/>
                      <a:ext cx="5271135" cy="2416810"/>
                    </a:xfrm>
                    <a:prstGeom prst="rect">
                      <a:avLst/>
                    </a:prstGeom>
                    <a:noFill/>
                    <a:ln>
                      <a:noFill/>
                    </a:ln>
                  </pic:spPr>
                </pic:pic>
              </a:graphicData>
            </a:graphic>
          </wp:inline>
        </w:drawing>
      </w:r>
    </w:p>
    <w:p>
      <w:pPr>
        <w:widowControl w:val="0"/>
        <w:numPr>
          <w:ilvl w:val="0"/>
          <w:numId w:val="0"/>
        </w:numPr>
        <w:tabs>
          <w:tab w:val="left" w:pos="1041"/>
        </w:tabs>
        <w:jc w:val="both"/>
      </w:pPr>
    </w:p>
    <w:p>
      <w:pPr>
        <w:widowControl w:val="0"/>
        <w:numPr>
          <w:ilvl w:val="0"/>
          <w:numId w:val="3"/>
        </w:numPr>
        <w:tabs>
          <w:tab w:val="left" w:pos="1041"/>
        </w:tabs>
        <w:ind w:left="0" w:leftChars="0" w:firstLine="0" w:firstLineChars="0"/>
        <w:jc w:val="both"/>
        <w:rPr>
          <w:rFonts w:hint="eastAsia"/>
          <w:lang w:val="en-US" w:eastAsia="zh-CN"/>
        </w:rPr>
      </w:pPr>
      <w:r>
        <w:rPr>
          <w:rFonts w:hint="eastAsia"/>
          <w:lang w:val="en-US" w:eastAsia="zh-CN"/>
        </w:rPr>
        <w:t>展示系统</w:t>
      </w:r>
    </w:p>
    <w:p>
      <w:pPr>
        <w:widowControl w:val="0"/>
        <w:numPr>
          <w:ilvl w:val="0"/>
          <w:numId w:val="0"/>
        </w:numPr>
        <w:tabs>
          <w:tab w:val="left" w:pos="1041"/>
        </w:tabs>
        <w:ind w:leftChars="0"/>
        <w:jc w:val="both"/>
      </w:pPr>
      <w:r>
        <w:drawing>
          <wp:inline distT="0" distB="0" distL="114300" distR="114300">
            <wp:extent cx="5261610" cy="2403475"/>
            <wp:effectExtent l="0" t="0" r="15240" b="1587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9"/>
                    <a:stretch>
                      <a:fillRect/>
                    </a:stretch>
                  </pic:blipFill>
                  <pic:spPr>
                    <a:xfrm>
                      <a:off x="0" y="0"/>
                      <a:ext cx="5261610" cy="2403475"/>
                    </a:xfrm>
                    <a:prstGeom prst="rect">
                      <a:avLst/>
                    </a:prstGeom>
                    <a:noFill/>
                    <a:ln>
                      <a:noFill/>
                    </a:ln>
                  </pic:spPr>
                </pic:pic>
              </a:graphicData>
            </a:graphic>
          </wp:inline>
        </w:drawing>
      </w:r>
    </w:p>
    <w:p>
      <w:pPr>
        <w:widowControl w:val="0"/>
        <w:numPr>
          <w:ilvl w:val="0"/>
          <w:numId w:val="0"/>
        </w:numPr>
        <w:tabs>
          <w:tab w:val="left" w:pos="1041"/>
        </w:tabs>
        <w:ind w:leftChars="0"/>
        <w:jc w:val="both"/>
      </w:pPr>
      <w:r>
        <w:drawing>
          <wp:inline distT="0" distB="0" distL="114300" distR="114300">
            <wp:extent cx="5272405" cy="2399665"/>
            <wp:effectExtent l="0" t="0" r="4445" b="63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10"/>
                    <a:stretch>
                      <a:fillRect/>
                    </a:stretch>
                  </pic:blipFill>
                  <pic:spPr>
                    <a:xfrm>
                      <a:off x="0" y="0"/>
                      <a:ext cx="5272405" cy="2399665"/>
                    </a:xfrm>
                    <a:prstGeom prst="rect">
                      <a:avLst/>
                    </a:prstGeom>
                    <a:noFill/>
                    <a:ln>
                      <a:noFill/>
                    </a:ln>
                  </pic:spPr>
                </pic:pic>
              </a:graphicData>
            </a:graphic>
          </wp:inline>
        </w:drawing>
      </w:r>
    </w:p>
    <w:p>
      <w:pPr>
        <w:widowControl w:val="0"/>
        <w:numPr>
          <w:ilvl w:val="0"/>
          <w:numId w:val="0"/>
        </w:numPr>
        <w:tabs>
          <w:tab w:val="left" w:pos="1041"/>
        </w:tabs>
        <w:ind w:leftChars="0"/>
        <w:jc w:val="both"/>
      </w:pPr>
    </w:p>
    <w:p>
      <w:pPr>
        <w:widowControl w:val="0"/>
        <w:numPr>
          <w:ilvl w:val="0"/>
          <w:numId w:val="0"/>
        </w:numPr>
        <w:tabs>
          <w:tab w:val="left" w:pos="1041"/>
        </w:tabs>
        <w:ind w:leftChars="0"/>
        <w:jc w:val="both"/>
      </w:pPr>
    </w:p>
    <w:p>
      <w:pPr>
        <w:widowControl w:val="0"/>
        <w:numPr>
          <w:ilvl w:val="0"/>
          <w:numId w:val="0"/>
        </w:numPr>
        <w:tabs>
          <w:tab w:val="left" w:pos="1041"/>
        </w:tabs>
        <w:ind w:leftChars="0"/>
        <w:jc w:val="both"/>
      </w:pPr>
    </w:p>
    <w:p>
      <w:pPr>
        <w:widowControl w:val="0"/>
        <w:numPr>
          <w:ilvl w:val="0"/>
          <w:numId w:val="3"/>
        </w:numPr>
        <w:tabs>
          <w:tab w:val="left" w:pos="1041"/>
        </w:tabs>
        <w:ind w:left="0" w:leftChars="0" w:firstLine="0" w:firstLineChars="0"/>
        <w:jc w:val="both"/>
      </w:pPr>
      <w:r>
        <w:rPr>
          <w:rFonts w:hint="eastAsia"/>
          <w:lang w:val="en-US" w:eastAsia="zh-CN"/>
        </w:rPr>
        <w:t>GIS展示</w:t>
      </w:r>
    </w:p>
    <w:p>
      <w:pPr>
        <w:widowControl w:val="0"/>
        <w:numPr>
          <w:ilvl w:val="0"/>
          <w:numId w:val="0"/>
        </w:numPr>
        <w:tabs>
          <w:tab w:val="left" w:pos="1041"/>
        </w:tabs>
        <w:ind w:leftChars="0"/>
        <w:jc w:val="both"/>
        <w:rPr>
          <w:rFonts w:hint="default"/>
          <w:lang w:val="en-US"/>
        </w:rPr>
      </w:pPr>
      <w:r>
        <w:rPr>
          <w:rFonts w:hint="eastAsia"/>
          <w:lang w:val="en-US" w:eastAsia="zh-CN"/>
        </w:rPr>
        <w:t>实时</w:t>
      </w:r>
    </w:p>
    <w:p>
      <w:pPr>
        <w:widowControl w:val="0"/>
        <w:numPr>
          <w:ilvl w:val="0"/>
          <w:numId w:val="0"/>
        </w:numPr>
        <w:tabs>
          <w:tab w:val="left" w:pos="1041"/>
        </w:tabs>
        <w:ind w:leftChars="0"/>
        <w:jc w:val="both"/>
      </w:pPr>
      <w:r>
        <w:drawing>
          <wp:inline distT="0" distB="0" distL="114300" distR="114300">
            <wp:extent cx="5271135" cy="2409190"/>
            <wp:effectExtent l="0" t="0" r="571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1"/>
                    <a:stretch>
                      <a:fillRect/>
                    </a:stretch>
                  </pic:blipFill>
                  <pic:spPr>
                    <a:xfrm>
                      <a:off x="0" y="0"/>
                      <a:ext cx="5271135" cy="2409190"/>
                    </a:xfrm>
                    <a:prstGeom prst="rect">
                      <a:avLst/>
                    </a:prstGeom>
                    <a:noFill/>
                    <a:ln>
                      <a:noFill/>
                    </a:ln>
                  </pic:spPr>
                </pic:pic>
              </a:graphicData>
            </a:graphic>
          </wp:inline>
        </w:drawing>
      </w:r>
    </w:p>
    <w:p>
      <w:pPr>
        <w:widowControl w:val="0"/>
        <w:numPr>
          <w:ilvl w:val="0"/>
          <w:numId w:val="0"/>
        </w:numPr>
        <w:tabs>
          <w:tab w:val="left" w:pos="1041"/>
        </w:tabs>
        <w:ind w:leftChars="0"/>
        <w:jc w:val="both"/>
      </w:pPr>
    </w:p>
    <w:p>
      <w:pPr>
        <w:widowControl w:val="0"/>
        <w:numPr>
          <w:ilvl w:val="0"/>
          <w:numId w:val="0"/>
        </w:numPr>
        <w:tabs>
          <w:tab w:val="left" w:pos="1041"/>
        </w:tabs>
        <w:ind w:leftChars="0"/>
        <w:jc w:val="both"/>
        <w:rPr>
          <w:rFonts w:hint="eastAsia"/>
          <w:lang w:val="en-US" w:eastAsia="zh-CN"/>
        </w:rPr>
      </w:pPr>
      <w:r>
        <w:rPr>
          <w:rFonts w:hint="eastAsia"/>
          <w:lang w:val="en-US" w:eastAsia="zh-CN"/>
        </w:rPr>
        <w:t>历史</w:t>
      </w:r>
    </w:p>
    <w:p>
      <w:pPr>
        <w:widowControl w:val="0"/>
        <w:numPr>
          <w:ilvl w:val="0"/>
          <w:numId w:val="0"/>
        </w:numPr>
        <w:tabs>
          <w:tab w:val="left" w:pos="1041"/>
        </w:tabs>
        <w:ind w:leftChars="0"/>
        <w:jc w:val="both"/>
      </w:pPr>
      <w:r>
        <w:drawing>
          <wp:inline distT="0" distB="0" distL="114300" distR="114300">
            <wp:extent cx="5265420" cy="2392045"/>
            <wp:effectExtent l="0" t="0" r="11430" b="825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2"/>
                    <a:stretch>
                      <a:fillRect/>
                    </a:stretch>
                  </pic:blipFill>
                  <pic:spPr>
                    <a:xfrm>
                      <a:off x="0" y="0"/>
                      <a:ext cx="5265420" cy="2392045"/>
                    </a:xfrm>
                    <a:prstGeom prst="rect">
                      <a:avLst/>
                    </a:prstGeom>
                    <a:noFill/>
                    <a:ln>
                      <a:noFill/>
                    </a:ln>
                  </pic:spPr>
                </pic:pic>
              </a:graphicData>
            </a:graphic>
          </wp:inline>
        </w:drawing>
      </w:r>
    </w:p>
    <w:p>
      <w:pPr>
        <w:widowControl w:val="0"/>
        <w:numPr>
          <w:ilvl w:val="0"/>
          <w:numId w:val="0"/>
        </w:numPr>
        <w:tabs>
          <w:tab w:val="left" w:pos="1041"/>
        </w:tabs>
        <w:ind w:leftChars="0"/>
        <w:jc w:val="both"/>
      </w:pPr>
    </w:p>
    <w:p>
      <w:pPr>
        <w:widowControl w:val="0"/>
        <w:numPr>
          <w:ilvl w:val="0"/>
          <w:numId w:val="3"/>
        </w:numPr>
        <w:tabs>
          <w:tab w:val="left" w:pos="1041"/>
        </w:tabs>
        <w:ind w:left="0" w:leftChars="0" w:firstLine="0" w:firstLineChars="0"/>
        <w:jc w:val="both"/>
        <w:rPr>
          <w:rFonts w:hint="eastAsia"/>
          <w:lang w:val="en-US" w:eastAsia="zh-CN"/>
        </w:rPr>
      </w:pPr>
      <w:r>
        <w:rPr>
          <w:rFonts w:hint="eastAsia"/>
          <w:lang w:val="en-US" w:eastAsia="zh-CN"/>
        </w:rPr>
        <w:t>数据发布系统</w:t>
      </w:r>
    </w:p>
    <w:p>
      <w:pPr>
        <w:widowControl w:val="0"/>
        <w:numPr>
          <w:ilvl w:val="0"/>
          <w:numId w:val="0"/>
        </w:numPr>
        <w:tabs>
          <w:tab w:val="left" w:pos="1041"/>
        </w:tabs>
        <w:ind w:leftChars="0"/>
        <w:jc w:val="both"/>
      </w:pPr>
      <w:r>
        <w:drawing>
          <wp:inline distT="0" distB="0" distL="114300" distR="114300">
            <wp:extent cx="5269230" cy="2141220"/>
            <wp:effectExtent l="0" t="0" r="7620"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3"/>
                    <a:stretch>
                      <a:fillRect/>
                    </a:stretch>
                  </pic:blipFill>
                  <pic:spPr>
                    <a:xfrm>
                      <a:off x="0" y="0"/>
                      <a:ext cx="5269230" cy="2141220"/>
                    </a:xfrm>
                    <a:prstGeom prst="rect">
                      <a:avLst/>
                    </a:prstGeom>
                    <a:noFill/>
                    <a:ln>
                      <a:noFill/>
                    </a:ln>
                  </pic:spPr>
                </pic:pic>
              </a:graphicData>
            </a:graphic>
          </wp:inline>
        </w:drawing>
      </w:r>
    </w:p>
    <w:p>
      <w:pPr>
        <w:widowControl w:val="0"/>
        <w:numPr>
          <w:ilvl w:val="0"/>
          <w:numId w:val="0"/>
        </w:numPr>
        <w:tabs>
          <w:tab w:val="left" w:pos="1041"/>
        </w:tabs>
        <w:ind w:leftChars="0"/>
        <w:jc w:val="both"/>
      </w:pPr>
      <w:r>
        <w:drawing>
          <wp:inline distT="0" distB="0" distL="114300" distR="114300">
            <wp:extent cx="5266055" cy="2563495"/>
            <wp:effectExtent l="0" t="0" r="1079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4"/>
                    <a:stretch>
                      <a:fillRect/>
                    </a:stretch>
                  </pic:blipFill>
                  <pic:spPr>
                    <a:xfrm>
                      <a:off x="0" y="0"/>
                      <a:ext cx="5266055" cy="2563495"/>
                    </a:xfrm>
                    <a:prstGeom prst="rect">
                      <a:avLst/>
                    </a:prstGeom>
                    <a:noFill/>
                    <a:ln>
                      <a:noFill/>
                    </a:ln>
                  </pic:spPr>
                </pic:pic>
              </a:graphicData>
            </a:graphic>
          </wp:inline>
        </w:drawing>
      </w:r>
    </w:p>
    <w:p>
      <w:pPr>
        <w:widowControl w:val="0"/>
        <w:numPr>
          <w:ilvl w:val="0"/>
          <w:numId w:val="0"/>
        </w:numPr>
        <w:tabs>
          <w:tab w:val="left" w:pos="1041"/>
        </w:tabs>
        <w:ind w:leftChars="0"/>
        <w:jc w:val="both"/>
      </w:pPr>
      <w:r>
        <w:drawing>
          <wp:inline distT="0" distB="0" distL="114300" distR="114300">
            <wp:extent cx="5262245" cy="2389505"/>
            <wp:effectExtent l="0" t="0" r="14605" b="1079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5"/>
                    <a:stretch>
                      <a:fillRect/>
                    </a:stretch>
                  </pic:blipFill>
                  <pic:spPr>
                    <a:xfrm>
                      <a:off x="0" y="0"/>
                      <a:ext cx="5262245" cy="2389505"/>
                    </a:xfrm>
                    <a:prstGeom prst="rect">
                      <a:avLst/>
                    </a:prstGeom>
                    <a:noFill/>
                    <a:ln>
                      <a:noFill/>
                    </a:ln>
                  </pic:spPr>
                </pic:pic>
              </a:graphicData>
            </a:graphic>
          </wp:inline>
        </w:drawing>
      </w:r>
    </w:p>
    <w:p>
      <w:pPr>
        <w:widowControl w:val="0"/>
        <w:numPr>
          <w:ilvl w:val="0"/>
          <w:numId w:val="0"/>
        </w:numPr>
        <w:tabs>
          <w:tab w:val="left" w:pos="1041"/>
        </w:tabs>
        <w:ind w:leftChars="0"/>
        <w:jc w:val="both"/>
        <w:rPr>
          <w:rFonts w:hint="default"/>
          <w:lang w:val="en-US" w:eastAsia="zh-CN"/>
        </w:rPr>
      </w:pPr>
      <w:r>
        <w:drawing>
          <wp:inline distT="0" distB="0" distL="114300" distR="114300">
            <wp:extent cx="5274310" cy="2887980"/>
            <wp:effectExtent l="0" t="0" r="2540" b="762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16"/>
                    <a:stretch>
                      <a:fillRect/>
                    </a:stretch>
                  </pic:blipFill>
                  <pic:spPr>
                    <a:xfrm>
                      <a:off x="0" y="0"/>
                      <a:ext cx="5274310" cy="2887980"/>
                    </a:xfrm>
                    <a:prstGeom prst="rect">
                      <a:avLst/>
                    </a:prstGeom>
                    <a:noFill/>
                    <a:ln>
                      <a:noFill/>
                    </a:ln>
                  </pic:spPr>
                </pic:pic>
              </a:graphicData>
            </a:graphic>
          </wp:inline>
        </w:drawing>
      </w:r>
    </w:p>
    <w:p>
      <w:pPr>
        <w:rPr>
          <w:rFonts w:hint="eastAsia" w:ascii="微软雅黑" w:hAnsi="微软雅黑" w:eastAsia="微软雅黑"/>
          <w:b/>
          <w:sz w:val="24"/>
          <w:szCs w:val="24"/>
          <w:lang w:eastAsia="zh-CN"/>
        </w:rPr>
      </w:pPr>
    </w:p>
    <w:p>
      <w:pPr>
        <w:rPr>
          <w:rFonts w:hint="eastAsia" w:ascii="微软雅黑" w:hAnsi="微软雅黑" w:eastAsia="微软雅黑"/>
          <w:b/>
          <w:sz w:val="24"/>
          <w:szCs w:val="24"/>
          <w:lang w:eastAsia="zh-CN"/>
        </w:rPr>
      </w:pPr>
    </w:p>
    <w:p>
      <w:pPr>
        <w:rPr>
          <w:rFonts w:hint="eastAsia" w:ascii="微软雅黑" w:hAnsi="微软雅黑" w:eastAsia="微软雅黑"/>
          <w:b/>
          <w:sz w:val="24"/>
          <w:szCs w:val="24"/>
          <w:lang w:eastAsia="zh-CN"/>
        </w:rPr>
      </w:pPr>
    </w:p>
    <w:p/>
    <w:p>
      <w:pPr>
        <w:pStyle w:val="7"/>
        <w:numPr>
          <w:ilvl w:val="0"/>
          <w:numId w:val="2"/>
        </w:numPr>
        <w:ind w:firstLineChars="0"/>
        <w:rPr>
          <w:rFonts w:ascii="微软雅黑" w:hAnsi="微软雅黑" w:eastAsia="微软雅黑"/>
          <w:b/>
          <w:sz w:val="24"/>
          <w:szCs w:val="24"/>
        </w:rPr>
      </w:pPr>
      <w:r>
        <w:rPr>
          <w:rFonts w:hint="eastAsia" w:ascii="微软雅黑" w:hAnsi="微软雅黑" w:eastAsia="微软雅黑"/>
          <w:b/>
          <w:sz w:val="24"/>
          <w:szCs w:val="24"/>
        </w:rPr>
        <w:t>视频内容设计</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8"/>
        <w:gridCol w:w="3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098" w:type="dxa"/>
          </w:tcPr>
          <w:p>
            <w:pPr>
              <w:jc w:val="center"/>
              <w:rPr>
                <w:rFonts w:ascii="微软雅黑" w:hAnsi="微软雅黑" w:eastAsia="微软雅黑"/>
                <w:b/>
                <w:szCs w:val="21"/>
              </w:rPr>
            </w:pPr>
            <w:r>
              <w:rPr>
                <w:rFonts w:hint="eastAsia" w:ascii="微软雅黑" w:hAnsi="微软雅黑" w:eastAsia="微软雅黑"/>
                <w:b/>
                <w:szCs w:val="21"/>
              </w:rPr>
              <w:t>讲解阐述</w:t>
            </w:r>
          </w:p>
        </w:tc>
        <w:tc>
          <w:tcPr>
            <w:tcW w:w="3198" w:type="dxa"/>
          </w:tcPr>
          <w:p>
            <w:pPr>
              <w:jc w:val="center"/>
              <w:rPr>
                <w:rFonts w:ascii="微软雅黑" w:hAnsi="微软雅黑" w:eastAsia="微软雅黑"/>
                <w:b/>
                <w:szCs w:val="21"/>
              </w:rPr>
            </w:pPr>
            <w:r>
              <w:rPr>
                <w:rFonts w:hint="eastAsia" w:ascii="微软雅黑" w:hAnsi="微软雅黑" w:eastAsia="微软雅黑"/>
                <w:b/>
                <w:szCs w:val="21"/>
              </w:rPr>
              <w:t>对应系统操作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8" w:hRule="atLeast"/>
        </w:trPr>
        <w:tc>
          <w:tcPr>
            <w:tcW w:w="5098" w:type="dxa"/>
          </w:tcPr>
          <w:p>
            <w:pPr>
              <w:pStyle w:val="7"/>
              <w:numPr>
                <w:ilvl w:val="0"/>
                <w:numId w:val="4"/>
              </w:numPr>
              <w:ind w:left="360" w:leftChars="0" w:firstLineChars="0"/>
              <w:rPr>
                <w:rFonts w:ascii="微软雅黑" w:hAnsi="微软雅黑" w:eastAsia="微软雅黑"/>
                <w:sz w:val="18"/>
                <w:szCs w:val="18"/>
              </w:rPr>
            </w:pPr>
            <w:r>
              <w:rPr>
                <w:rFonts w:hint="eastAsia" w:ascii="微软雅黑" w:hAnsi="微软雅黑" w:eastAsia="微软雅黑"/>
                <w:sz w:val="18"/>
                <w:szCs w:val="18"/>
              </w:rPr>
              <w:t>各位朋友，大家好！</w:t>
            </w:r>
          </w:p>
          <w:p>
            <w:pPr>
              <w:pStyle w:val="7"/>
              <w:numPr>
                <w:ilvl w:val="0"/>
                <w:numId w:val="4"/>
              </w:numPr>
              <w:ind w:left="360" w:leftChars="0" w:firstLineChars="0"/>
              <w:rPr>
                <w:rFonts w:hint="eastAsia" w:ascii="微软雅黑" w:hAnsi="微软雅黑" w:eastAsia="微软雅黑"/>
                <w:sz w:val="18"/>
                <w:szCs w:val="18"/>
                <w:lang w:eastAsia="zh-CN"/>
              </w:rPr>
            </w:pPr>
            <w:r>
              <w:rPr>
                <w:rFonts w:hint="eastAsia" w:ascii="微软雅黑" w:hAnsi="微软雅黑" w:eastAsia="微软雅黑"/>
                <w:sz w:val="18"/>
                <w:szCs w:val="18"/>
              </w:rPr>
              <w:t>为了满足日益提高的</w:t>
            </w:r>
            <w:r>
              <w:rPr>
                <w:rFonts w:hint="eastAsia" w:ascii="微软雅黑" w:hAnsi="微软雅黑" w:eastAsia="微软雅黑"/>
                <w:sz w:val="18"/>
                <w:szCs w:val="18"/>
                <w:lang w:val="en-US" w:eastAsia="zh-CN"/>
              </w:rPr>
              <w:t>生态环境保护</w:t>
            </w:r>
            <w:r>
              <w:rPr>
                <w:rFonts w:hint="eastAsia" w:ascii="微软雅黑" w:hAnsi="微软雅黑" w:eastAsia="微软雅黑"/>
                <w:sz w:val="18"/>
                <w:szCs w:val="18"/>
              </w:rPr>
              <w:t>需求，对各类环境监测数据信息系统</w:t>
            </w:r>
            <w:r>
              <w:rPr>
                <w:rFonts w:hint="eastAsia" w:ascii="微软雅黑" w:hAnsi="微软雅黑" w:eastAsia="微软雅黑"/>
                <w:sz w:val="18"/>
                <w:szCs w:val="18"/>
                <w:lang w:val="en-US" w:eastAsia="zh-CN"/>
              </w:rPr>
              <w:t>和数据</w:t>
            </w:r>
            <w:r>
              <w:rPr>
                <w:rFonts w:hint="eastAsia" w:ascii="微软雅黑" w:hAnsi="微软雅黑" w:eastAsia="微软雅黑"/>
                <w:sz w:val="18"/>
                <w:szCs w:val="18"/>
              </w:rPr>
              <w:t>进行集成整合，建立了贵州省</w:t>
            </w:r>
            <w:r>
              <w:rPr>
                <w:rFonts w:hint="eastAsia" w:ascii="微软雅黑" w:hAnsi="微软雅黑" w:eastAsia="微软雅黑"/>
                <w:sz w:val="18"/>
                <w:szCs w:val="18"/>
                <w:lang w:val="en-US" w:eastAsia="zh-CN"/>
              </w:rPr>
              <w:t>环境质量数据库</w:t>
            </w:r>
            <w:r>
              <w:rPr>
                <w:rFonts w:hint="eastAsia" w:ascii="微软雅黑" w:hAnsi="微软雅黑" w:eastAsia="微软雅黑"/>
                <w:sz w:val="18"/>
                <w:szCs w:val="18"/>
              </w:rPr>
              <w:t>。</w:t>
            </w:r>
          </w:p>
          <w:p>
            <w:pPr>
              <w:pStyle w:val="7"/>
              <w:numPr>
                <w:ilvl w:val="0"/>
                <w:numId w:val="4"/>
              </w:numPr>
              <w:ind w:left="360" w:leftChars="0" w:firstLineChars="0"/>
              <w:rPr>
                <w:rFonts w:hint="eastAsia" w:ascii="微软雅黑" w:hAnsi="微软雅黑" w:eastAsia="微软雅黑"/>
                <w:sz w:val="18"/>
                <w:szCs w:val="18"/>
                <w:lang w:eastAsia="zh-CN"/>
              </w:rPr>
            </w:pPr>
            <w:r>
              <w:rPr>
                <w:rFonts w:hint="eastAsia" w:ascii="微软雅黑" w:hAnsi="微软雅黑" w:eastAsia="微软雅黑"/>
                <w:sz w:val="18"/>
                <w:szCs w:val="18"/>
              </w:rPr>
              <w:t>本系统全面集成了数十年来的生态环境监测大数据，</w:t>
            </w:r>
            <w:r>
              <w:rPr>
                <w:rFonts w:hint="eastAsia" w:ascii="微软雅黑" w:hAnsi="微软雅黑" w:eastAsia="微软雅黑"/>
                <w:sz w:val="18"/>
                <w:szCs w:val="18"/>
                <w:lang w:val="en-US" w:eastAsia="zh-CN"/>
              </w:rPr>
              <w:t>覆盖了气环境、水环境、声环境、农村环境、生态环境等总共16个环境要素。</w:t>
            </w:r>
            <w:r>
              <w:rPr>
                <w:rFonts w:hint="eastAsia" w:ascii="微软雅黑" w:hAnsi="微软雅黑" w:eastAsia="微软雅黑"/>
                <w:sz w:val="18"/>
                <w:szCs w:val="18"/>
              </w:rPr>
              <w:t>充分运用云平台、云计算、大数据分析、GIS分析等</w:t>
            </w:r>
            <w:r>
              <w:rPr>
                <w:rFonts w:hint="eastAsia" w:ascii="微软雅黑" w:hAnsi="微软雅黑" w:eastAsia="微软雅黑"/>
                <w:sz w:val="18"/>
                <w:szCs w:val="18"/>
                <w:lang w:val="en-US" w:eastAsia="zh-CN"/>
              </w:rPr>
              <w:t>多元技术形式</w:t>
            </w:r>
            <w:r>
              <w:rPr>
                <w:rFonts w:hint="eastAsia" w:ascii="微软雅黑" w:hAnsi="微软雅黑" w:eastAsia="微软雅黑"/>
                <w:sz w:val="18"/>
                <w:szCs w:val="18"/>
              </w:rPr>
              <w:t>，对生态环境质量进行深入的科学分析、综合评价、实时监管、综合展示。</w:t>
            </w:r>
          </w:p>
          <w:p>
            <w:pPr>
              <w:pStyle w:val="7"/>
              <w:numPr>
                <w:ilvl w:val="0"/>
                <w:numId w:val="4"/>
              </w:numPr>
              <w:ind w:left="360" w:leftChars="0" w:firstLineChars="0"/>
              <w:rPr>
                <w:rFonts w:ascii="微软雅黑" w:hAnsi="微软雅黑" w:eastAsia="微软雅黑"/>
                <w:sz w:val="18"/>
                <w:szCs w:val="18"/>
              </w:rPr>
            </w:pPr>
            <w:r>
              <w:rPr>
                <w:rFonts w:hint="eastAsia" w:ascii="微软雅黑" w:hAnsi="微软雅黑" w:eastAsia="微软雅黑"/>
                <w:sz w:val="18"/>
                <w:szCs w:val="18"/>
                <w:lang w:val="en-US" w:eastAsia="zh-CN"/>
              </w:rPr>
              <w:t>数据管理系统是一个实现市州用户上报数据到系统中的功能，市站用户将需要上报的数据导入到系统中，然后上级用户进行审核确认之后保存在系统数据库当中。</w:t>
            </w:r>
          </w:p>
          <w:p>
            <w:pPr>
              <w:pStyle w:val="7"/>
              <w:numPr>
                <w:ilvl w:val="0"/>
                <w:numId w:val="4"/>
              </w:numPr>
              <w:ind w:left="360" w:leftChars="0" w:firstLineChars="0"/>
              <w:rPr>
                <w:rFonts w:ascii="微软雅黑" w:hAnsi="微软雅黑" w:eastAsia="微软雅黑"/>
                <w:sz w:val="18"/>
                <w:szCs w:val="18"/>
              </w:rPr>
            </w:pPr>
            <w:r>
              <w:rPr>
                <w:rFonts w:hint="eastAsia" w:ascii="微软雅黑" w:hAnsi="微软雅黑" w:eastAsia="微软雅黑"/>
                <w:sz w:val="18"/>
                <w:szCs w:val="18"/>
                <w:lang w:val="en-US" w:eastAsia="zh-CN"/>
              </w:rPr>
              <w:t>专题报表系统模块是根据用户实际工作需要，按照各类业务报表和分析图形，形成各类统 计评价结果及特征值统计，使用户办公效率提升。</w:t>
            </w:r>
          </w:p>
          <w:p>
            <w:pPr>
              <w:pStyle w:val="7"/>
              <w:numPr>
                <w:ilvl w:val="0"/>
                <w:numId w:val="4"/>
              </w:numPr>
              <w:ind w:left="360" w:leftChars="0" w:firstLineChars="0"/>
              <w:rPr>
                <w:rFonts w:ascii="微软雅黑" w:hAnsi="微软雅黑" w:eastAsia="微软雅黑"/>
                <w:sz w:val="18"/>
                <w:szCs w:val="18"/>
              </w:rPr>
            </w:pPr>
            <w:r>
              <w:rPr>
                <w:rFonts w:hint="eastAsia" w:ascii="微软雅黑" w:hAnsi="微软雅黑" w:eastAsia="微软雅黑"/>
                <w:sz w:val="18"/>
                <w:szCs w:val="18"/>
                <w:lang w:val="en-US" w:eastAsia="zh-CN"/>
              </w:rPr>
              <w:t>专题报告系统模块，在专题报告系统中，根据用户的实际工作需要，按照模板和报告生成规则，一键自动生成各类监测报告，并且可以按照用户的相关报告模板需求进行模板的更改，提高用户办公效率。</w:t>
            </w:r>
          </w:p>
          <w:p>
            <w:pPr>
              <w:pStyle w:val="7"/>
              <w:numPr>
                <w:ilvl w:val="0"/>
                <w:numId w:val="4"/>
              </w:numPr>
              <w:ind w:left="360" w:leftChars="0" w:firstLineChars="0"/>
              <w:rPr>
                <w:rFonts w:hint="eastAsia" w:ascii="微软雅黑" w:hAnsi="微软雅黑" w:eastAsia="微软雅黑"/>
                <w:sz w:val="18"/>
                <w:szCs w:val="18"/>
              </w:rPr>
            </w:pPr>
            <w:r>
              <w:rPr>
                <w:rFonts w:hint="eastAsia" w:ascii="微软雅黑" w:hAnsi="微软雅黑" w:eastAsia="微软雅黑"/>
                <w:sz w:val="18"/>
                <w:szCs w:val="18"/>
                <w:lang w:val="en-US" w:eastAsia="zh-CN"/>
              </w:rPr>
              <w:t>中心数据库中，</w:t>
            </w:r>
            <w:r>
              <w:rPr>
                <w:rFonts w:hint="eastAsia" w:ascii="微软雅黑" w:hAnsi="微软雅黑" w:eastAsia="微软雅黑"/>
                <w:sz w:val="18"/>
                <w:szCs w:val="18"/>
              </w:rPr>
              <w:t>汇集整合所有平台需要的数据，制定数据资源目录和共享接口，实现数据的交换共享</w:t>
            </w:r>
            <w:r>
              <w:rPr>
                <w:rFonts w:hint="eastAsia" w:ascii="微软雅黑" w:hAnsi="微软雅黑" w:eastAsia="微软雅黑"/>
                <w:sz w:val="18"/>
                <w:szCs w:val="18"/>
                <w:lang w:eastAsia="zh-CN"/>
              </w:rPr>
              <w:t>，</w:t>
            </w:r>
            <w:r>
              <w:rPr>
                <w:rFonts w:hint="eastAsia" w:ascii="微软雅黑" w:hAnsi="微软雅黑" w:eastAsia="微软雅黑"/>
                <w:sz w:val="18"/>
                <w:szCs w:val="18"/>
                <w:lang w:val="en-US" w:eastAsia="zh-CN"/>
              </w:rPr>
              <w:t>在该系统中，用户可以查看各类业务的原始数据</w:t>
            </w:r>
            <w:r>
              <w:rPr>
                <w:rFonts w:hint="eastAsia" w:ascii="微软雅黑" w:hAnsi="微软雅黑" w:eastAsia="微软雅黑"/>
                <w:sz w:val="18"/>
                <w:szCs w:val="18"/>
              </w:rPr>
              <w:t>。</w:t>
            </w:r>
          </w:p>
          <w:p>
            <w:pPr>
              <w:pStyle w:val="7"/>
              <w:numPr>
                <w:ilvl w:val="0"/>
                <w:numId w:val="4"/>
              </w:numPr>
              <w:ind w:left="360" w:leftChars="0" w:firstLineChars="0"/>
              <w:rPr>
                <w:rFonts w:ascii="微软雅黑" w:hAnsi="微软雅黑" w:eastAsia="微软雅黑"/>
                <w:sz w:val="18"/>
                <w:szCs w:val="18"/>
              </w:rPr>
            </w:pPr>
            <w:r>
              <w:rPr>
                <w:rFonts w:hint="eastAsia" w:ascii="微软雅黑" w:hAnsi="微软雅黑" w:eastAsia="微软雅黑"/>
                <w:sz w:val="18"/>
                <w:szCs w:val="18"/>
                <w:lang w:val="en-US" w:eastAsia="zh-CN"/>
              </w:rPr>
              <w:t>在领导视窗当中，展示了大气环境与水环境的各项数据，</w:t>
            </w:r>
            <w:r>
              <w:rPr>
                <w:rFonts w:hint="eastAsia" w:ascii="微软雅黑" w:hAnsi="微软雅黑" w:eastAsia="微软雅黑"/>
                <w:sz w:val="18"/>
                <w:szCs w:val="18"/>
              </w:rPr>
              <w:t>通过图、表等可视化方式展示各类环境质量状况，</w:t>
            </w:r>
            <w:r>
              <w:rPr>
                <w:rFonts w:hint="eastAsia" w:ascii="微软雅黑" w:hAnsi="微软雅黑" w:eastAsia="微软雅黑"/>
                <w:sz w:val="18"/>
                <w:szCs w:val="18"/>
                <w:lang w:val="en-US" w:eastAsia="zh-CN"/>
              </w:rPr>
              <w:t>更加直白明显的了解环境质量状况的好坏，</w:t>
            </w:r>
            <w:r>
              <w:rPr>
                <w:rFonts w:hint="eastAsia" w:ascii="微软雅黑" w:hAnsi="微软雅黑" w:eastAsia="微软雅黑"/>
                <w:sz w:val="18"/>
                <w:szCs w:val="18"/>
              </w:rPr>
              <w:t>为各级领导提供管理决策的依据。</w:t>
            </w:r>
          </w:p>
          <w:p>
            <w:pPr>
              <w:pStyle w:val="7"/>
              <w:numPr>
                <w:ilvl w:val="0"/>
                <w:numId w:val="4"/>
              </w:numPr>
              <w:ind w:left="360" w:leftChars="0" w:firstLineChars="0"/>
              <w:rPr>
                <w:rFonts w:hint="eastAsia" w:ascii="微软雅黑" w:hAnsi="微软雅黑" w:eastAsia="微软雅黑"/>
                <w:sz w:val="18"/>
                <w:szCs w:val="18"/>
              </w:rPr>
            </w:pPr>
            <w:r>
              <w:rPr>
                <w:rFonts w:hint="eastAsia" w:ascii="微软雅黑" w:hAnsi="微软雅黑" w:eastAsia="微软雅黑"/>
                <w:sz w:val="18"/>
                <w:szCs w:val="18"/>
                <w:lang w:val="en-US" w:eastAsia="zh-CN"/>
              </w:rPr>
              <w:t>GIS一张图中，</w:t>
            </w:r>
            <w:r>
              <w:rPr>
                <w:rFonts w:hint="eastAsia" w:ascii="微软雅黑" w:hAnsi="微软雅黑" w:eastAsia="微软雅黑"/>
                <w:sz w:val="18"/>
                <w:szCs w:val="18"/>
              </w:rPr>
              <w:t>以GIS为展示平台—张图说清空气、水质、生态、农村等各类环境质量状况</w:t>
            </w:r>
            <w:r>
              <w:rPr>
                <w:rFonts w:hint="eastAsia" w:ascii="微软雅黑" w:hAnsi="微软雅黑" w:eastAsia="微软雅黑"/>
                <w:sz w:val="18"/>
                <w:szCs w:val="18"/>
                <w:lang w:eastAsia="zh-CN"/>
              </w:rPr>
              <w:t>，</w:t>
            </w:r>
            <w:r>
              <w:rPr>
                <w:rFonts w:hint="eastAsia" w:ascii="微软雅黑" w:hAnsi="微软雅黑" w:eastAsia="微软雅黑"/>
                <w:sz w:val="18"/>
                <w:szCs w:val="18"/>
                <w:lang w:val="en-US" w:eastAsia="zh-CN"/>
              </w:rPr>
              <w:t>系统默认进入为水环境的实时GIS分析，我们可以在这里清楚看到地图上的站点分布图以及通过站点颜色判断水质的好坏，更可以点击站点查看该站点的相关数据，在右侧也可以查看该站点的实时监控</w:t>
            </w:r>
            <w:r>
              <w:rPr>
                <w:rFonts w:hint="eastAsia" w:ascii="微软雅黑" w:hAnsi="微软雅黑" w:eastAsia="微软雅黑"/>
                <w:sz w:val="18"/>
                <w:szCs w:val="18"/>
              </w:rPr>
              <w:t>。</w:t>
            </w:r>
            <w:r>
              <w:rPr>
                <w:rFonts w:hint="eastAsia" w:ascii="微软雅黑" w:hAnsi="微软雅黑" w:eastAsia="微软雅黑"/>
                <w:sz w:val="18"/>
                <w:szCs w:val="18"/>
                <w:lang w:val="en-US" w:eastAsia="zh-CN"/>
              </w:rPr>
              <w:t>在历史中，用户可以查看GIS地图以及相关图标以往的数据的质量状况，而且系统还可以分别通过水系、市州、进行查看。气环境类似，可以通过GIS查看实时数据的质量状况，也可以通过历史查看以往的相关质量状况。</w:t>
            </w:r>
          </w:p>
          <w:p>
            <w:pPr>
              <w:pStyle w:val="7"/>
              <w:numPr>
                <w:ilvl w:val="0"/>
                <w:numId w:val="0"/>
              </w:numPr>
              <w:ind w:leftChars="0"/>
              <w:rPr>
                <w:rFonts w:ascii="微软雅黑" w:hAnsi="微软雅黑" w:eastAsia="微软雅黑"/>
                <w:sz w:val="18"/>
                <w:szCs w:val="18"/>
              </w:rPr>
            </w:pPr>
          </w:p>
        </w:tc>
        <w:tc>
          <w:tcPr>
            <w:tcW w:w="3198" w:type="dxa"/>
          </w:tcPr>
          <w:p>
            <w:pPr>
              <w:pStyle w:val="7"/>
              <w:numPr>
                <w:ilvl w:val="0"/>
                <w:numId w:val="5"/>
              </w:numPr>
              <w:ind w:firstLineChars="0"/>
              <w:rPr>
                <w:rFonts w:ascii="微软雅黑" w:hAnsi="微软雅黑" w:eastAsia="微软雅黑"/>
                <w:sz w:val="18"/>
                <w:szCs w:val="18"/>
              </w:rPr>
            </w:pPr>
            <w:r>
              <w:rPr>
                <w:rFonts w:hint="eastAsia" w:ascii="微软雅黑" w:hAnsi="微软雅黑" w:eastAsia="微软雅黑"/>
                <w:sz w:val="18"/>
                <w:szCs w:val="18"/>
              </w:rPr>
              <w:t>页面停留在登录页。</w:t>
            </w:r>
          </w:p>
          <w:p>
            <w:pPr>
              <w:pStyle w:val="7"/>
              <w:numPr>
                <w:ilvl w:val="0"/>
                <w:numId w:val="5"/>
              </w:numPr>
              <w:ind w:firstLineChars="0"/>
              <w:rPr>
                <w:rFonts w:ascii="微软雅黑" w:hAnsi="微软雅黑" w:eastAsia="微软雅黑"/>
                <w:sz w:val="18"/>
                <w:szCs w:val="18"/>
              </w:rPr>
            </w:pPr>
            <w:r>
              <w:rPr>
                <w:rFonts w:hint="eastAsia" w:ascii="微软雅黑" w:hAnsi="微软雅黑" w:eastAsia="微软雅黑"/>
                <w:sz w:val="18"/>
                <w:szCs w:val="18"/>
              </w:rPr>
              <w:t>边讲解边输入用户名及密码进行登录系统的操作。</w:t>
            </w:r>
          </w:p>
          <w:p>
            <w:pPr>
              <w:pStyle w:val="7"/>
              <w:numPr>
                <w:numId w:val="0"/>
              </w:numPr>
              <w:ind w:leftChars="0"/>
              <w:rPr>
                <w:rFonts w:ascii="微软雅黑" w:hAnsi="微软雅黑" w:eastAsia="微软雅黑"/>
                <w:sz w:val="18"/>
                <w:szCs w:val="18"/>
              </w:rPr>
            </w:pPr>
          </w:p>
          <w:p>
            <w:pPr>
              <w:pStyle w:val="7"/>
              <w:numPr>
                <w:ilvl w:val="0"/>
                <w:numId w:val="5"/>
              </w:numPr>
              <w:ind w:firstLineChars="0"/>
              <w:rPr>
                <w:rFonts w:ascii="微软雅黑" w:hAnsi="微软雅黑" w:eastAsia="微软雅黑"/>
                <w:sz w:val="18"/>
                <w:szCs w:val="18"/>
              </w:rPr>
            </w:pPr>
            <w:r>
              <w:rPr>
                <w:rFonts w:hint="eastAsia" w:ascii="微软雅黑" w:hAnsi="微软雅黑" w:eastAsia="微软雅黑"/>
                <w:sz w:val="18"/>
                <w:szCs w:val="18"/>
              </w:rPr>
              <w:t>页面停留在系统首页。</w:t>
            </w: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p>
          <w:p>
            <w:pP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4、点击数据管理系统，进入数据管理页面，停留。</w:t>
            </w:r>
          </w:p>
          <w:p>
            <w:pPr>
              <w:rPr>
                <w:rFonts w:ascii="微软雅黑" w:hAnsi="微软雅黑" w:eastAsia="微软雅黑"/>
                <w:sz w:val="18"/>
                <w:szCs w:val="18"/>
              </w:rPr>
            </w:pPr>
          </w:p>
          <w:p>
            <w:pPr>
              <w:pStyle w:val="7"/>
              <w:numPr>
                <w:ilvl w:val="0"/>
                <w:numId w:val="0"/>
              </w:numPr>
              <w:ind w:leftChars="0"/>
              <w:rPr>
                <w:rFonts w:hint="eastAsia" w:ascii="微软雅黑" w:hAnsi="微软雅黑" w:eastAsia="微软雅黑"/>
                <w:sz w:val="18"/>
                <w:szCs w:val="18"/>
                <w:lang w:val="en-US" w:eastAsia="zh-CN"/>
              </w:rPr>
            </w:pPr>
            <w:r>
              <w:rPr>
                <w:rFonts w:hint="eastAsia" w:ascii="微软雅黑" w:hAnsi="微软雅黑" w:eastAsia="微软雅黑"/>
                <w:sz w:val="18"/>
                <w:szCs w:val="18"/>
                <w:lang w:val="en-US" w:eastAsia="zh-CN"/>
              </w:rPr>
              <w:t>5、点击专题报表系统，进入数据管理页面，停留。</w:t>
            </w:r>
          </w:p>
          <w:p>
            <w:pPr>
              <w:pStyle w:val="7"/>
              <w:widowControl w:val="0"/>
              <w:numPr>
                <w:ilvl w:val="0"/>
                <w:numId w:val="0"/>
              </w:numPr>
              <w:jc w:val="both"/>
              <w:rPr>
                <w:rFonts w:hint="eastAsia" w:ascii="微软雅黑" w:hAnsi="微软雅黑" w:eastAsia="微软雅黑"/>
                <w:sz w:val="18"/>
                <w:szCs w:val="18"/>
                <w:lang w:val="en-US" w:eastAsia="zh-CN"/>
              </w:rPr>
            </w:pPr>
          </w:p>
          <w:p>
            <w:pPr>
              <w:pStyle w:val="7"/>
              <w:numPr>
                <w:ilvl w:val="0"/>
                <w:numId w:val="0"/>
              </w:numPr>
              <w:ind w:leftChars="0"/>
              <w:rPr>
                <w:rFonts w:ascii="微软雅黑" w:hAnsi="微软雅黑" w:eastAsia="微软雅黑"/>
                <w:sz w:val="18"/>
                <w:szCs w:val="18"/>
              </w:rPr>
            </w:pPr>
            <w:r>
              <w:rPr>
                <w:rFonts w:hint="eastAsia" w:ascii="微软雅黑" w:hAnsi="微软雅黑" w:eastAsia="微软雅黑"/>
                <w:sz w:val="18"/>
                <w:szCs w:val="18"/>
                <w:lang w:val="en-US" w:eastAsia="zh-CN"/>
              </w:rPr>
              <w:t>6、点击专题报告系统，进入数据管理页面，停留，点击模板管理，停留。</w:t>
            </w:r>
          </w:p>
          <w:p>
            <w:pPr>
              <w:ind w:firstLine="518" w:firstLineChars="0"/>
              <w:rPr>
                <w:rFonts w:ascii="微软雅黑" w:hAnsi="微软雅黑" w:eastAsia="微软雅黑"/>
                <w:sz w:val="18"/>
                <w:szCs w:val="18"/>
              </w:rPr>
            </w:pPr>
          </w:p>
          <w:p>
            <w:pPr>
              <w:ind w:firstLine="518" w:firstLineChars="0"/>
              <w:rPr>
                <w:rFonts w:ascii="微软雅黑" w:hAnsi="微软雅黑" w:eastAsia="微软雅黑"/>
                <w:sz w:val="18"/>
                <w:szCs w:val="18"/>
              </w:rPr>
            </w:pPr>
          </w:p>
          <w:p>
            <w:pPr>
              <w:pStyle w:val="7"/>
              <w:numPr>
                <w:ilvl w:val="0"/>
                <w:numId w:val="0"/>
              </w:numPr>
              <w:ind w:leftChars="0"/>
              <w:rPr>
                <w:rFonts w:ascii="微软雅黑" w:hAnsi="微软雅黑" w:eastAsia="微软雅黑"/>
                <w:sz w:val="18"/>
                <w:szCs w:val="18"/>
              </w:rPr>
            </w:pPr>
            <w:r>
              <w:rPr>
                <w:rFonts w:hint="eastAsia" w:ascii="微软雅黑" w:hAnsi="微软雅黑" w:eastAsia="微软雅黑"/>
                <w:sz w:val="18"/>
                <w:szCs w:val="18"/>
                <w:lang w:val="en-US" w:eastAsia="zh-CN"/>
              </w:rPr>
              <w:t>7、点击中心数据库系统，进入数据管理页面，停留。</w:t>
            </w:r>
          </w:p>
          <w:p>
            <w:pPr>
              <w:rPr>
                <w:rFonts w:ascii="微软雅黑" w:hAnsi="微软雅黑" w:eastAsia="微软雅黑"/>
                <w:sz w:val="18"/>
                <w:szCs w:val="18"/>
              </w:rPr>
            </w:pPr>
          </w:p>
          <w:p>
            <w:pPr>
              <w:pStyle w:val="7"/>
              <w:numPr>
                <w:ilvl w:val="0"/>
                <w:numId w:val="3"/>
              </w:numPr>
              <w:ind w:left="0" w:leftChars="0" w:firstLine="0" w:firstLineChars="0"/>
              <w:rPr>
                <w:rFonts w:hint="eastAsia" w:ascii="微软雅黑" w:hAnsi="微软雅黑" w:eastAsia="微软雅黑"/>
                <w:sz w:val="18"/>
                <w:szCs w:val="18"/>
                <w:lang w:val="en-US" w:eastAsia="zh-CN"/>
              </w:rPr>
            </w:pPr>
            <w:r>
              <w:rPr>
                <w:rFonts w:hint="eastAsia" w:ascii="微软雅黑" w:hAnsi="微软雅黑" w:eastAsia="微软雅黑"/>
                <w:sz w:val="18"/>
                <w:szCs w:val="18"/>
                <w:lang w:val="en-US" w:eastAsia="zh-CN"/>
              </w:rPr>
              <w:t>将鼠标移到右侧尽头会出现箭头图标，点击图标进入大气环境。</w:t>
            </w:r>
          </w:p>
          <w:p>
            <w:pPr>
              <w:pStyle w:val="7"/>
              <w:widowControl w:val="0"/>
              <w:numPr>
                <w:ilvl w:val="0"/>
                <w:numId w:val="0"/>
              </w:numPr>
              <w:jc w:val="both"/>
              <w:rPr>
                <w:rFonts w:hint="eastAsia" w:ascii="微软雅黑" w:hAnsi="微软雅黑" w:eastAsia="微软雅黑"/>
                <w:sz w:val="18"/>
                <w:szCs w:val="18"/>
                <w:lang w:val="en-US" w:eastAsia="zh-CN"/>
              </w:rPr>
            </w:pPr>
          </w:p>
          <w:p>
            <w:pPr>
              <w:pStyle w:val="7"/>
              <w:widowControl w:val="0"/>
              <w:numPr>
                <w:ilvl w:val="0"/>
                <w:numId w:val="0"/>
              </w:numPr>
              <w:jc w:val="both"/>
              <w:rPr>
                <w:rFonts w:hint="eastAsia" w:ascii="微软雅黑" w:hAnsi="微软雅黑" w:eastAsia="微软雅黑"/>
                <w:sz w:val="18"/>
                <w:szCs w:val="18"/>
                <w:lang w:val="en-US" w:eastAsia="zh-CN"/>
              </w:rPr>
            </w:pPr>
          </w:p>
          <w:p>
            <w:pPr>
              <w:pStyle w:val="7"/>
              <w:numPr>
                <w:ilvl w:val="0"/>
                <w:numId w:val="3"/>
              </w:numPr>
              <w:ind w:left="0" w:leftChars="0" w:firstLine="0" w:firstLineChars="0"/>
              <w:rPr>
                <w:rFonts w:hint="eastAsia" w:ascii="微软雅黑" w:hAnsi="微软雅黑" w:eastAsia="微软雅黑"/>
                <w:sz w:val="18"/>
                <w:szCs w:val="18"/>
                <w:lang w:val="en-US" w:eastAsia="zh-CN"/>
              </w:rPr>
            </w:pPr>
            <w:r>
              <w:rPr>
                <w:rFonts w:hint="eastAsia" w:ascii="微软雅黑" w:hAnsi="微软雅黑" w:eastAsia="微软雅黑"/>
                <w:sz w:val="18"/>
                <w:szCs w:val="18"/>
                <w:lang w:val="en-US" w:eastAsia="zh-CN"/>
              </w:rPr>
              <w:t>点击GIS一张图系统，进入水环境实时页面，停留，鼠标点击站点，查看站点相关数据，关闭站点相关数据，鼠标移动到右侧在线监控，关闭，点击右上角历史，停留，点击气环境，停留。</w:t>
            </w:r>
          </w:p>
          <w:p>
            <w:pPr>
              <w:pStyle w:val="7"/>
              <w:widowControl w:val="0"/>
              <w:numPr>
                <w:ilvl w:val="0"/>
                <w:numId w:val="0"/>
              </w:numPr>
              <w:jc w:val="both"/>
              <w:rPr>
                <w:rFonts w:hint="default" w:ascii="微软雅黑" w:hAnsi="微软雅黑" w:eastAsia="微软雅黑"/>
                <w:sz w:val="18"/>
                <w:szCs w:val="18"/>
                <w:lang w:val="en-US" w:eastAsia="zh-CN"/>
              </w:rPr>
            </w:pPr>
          </w:p>
          <w:p>
            <w:pPr>
              <w:pStyle w:val="7"/>
              <w:widowControl w:val="0"/>
              <w:numPr>
                <w:ilvl w:val="0"/>
                <w:numId w:val="0"/>
              </w:numPr>
              <w:jc w:val="both"/>
              <w:rPr>
                <w:rFonts w:hint="default" w:ascii="微软雅黑" w:hAnsi="微软雅黑" w:eastAsia="微软雅黑"/>
                <w:sz w:val="18"/>
                <w:szCs w:val="18"/>
                <w:lang w:val="en-US" w:eastAsia="zh-CN"/>
              </w:rPr>
            </w:pPr>
          </w:p>
          <w:p>
            <w:pPr>
              <w:pStyle w:val="7"/>
              <w:widowControl w:val="0"/>
              <w:numPr>
                <w:ilvl w:val="0"/>
                <w:numId w:val="0"/>
              </w:numPr>
              <w:jc w:val="both"/>
              <w:rPr>
                <w:rFonts w:hint="default" w:ascii="微软雅黑" w:hAnsi="微软雅黑" w:eastAsia="微软雅黑"/>
                <w:sz w:val="18"/>
                <w:szCs w:val="18"/>
                <w:lang w:val="en-US" w:eastAsia="zh-CN"/>
              </w:rPr>
            </w:pPr>
          </w:p>
          <w:p>
            <w:pPr>
              <w:pStyle w:val="7"/>
              <w:widowControl w:val="0"/>
              <w:numPr>
                <w:ilvl w:val="0"/>
                <w:numId w:val="0"/>
              </w:numPr>
              <w:jc w:val="both"/>
              <w:rPr>
                <w:rFonts w:hint="default" w:ascii="微软雅黑" w:hAnsi="微软雅黑" w:eastAsia="微软雅黑"/>
                <w:sz w:val="18"/>
                <w:szCs w:val="18"/>
                <w:lang w:val="en-US" w:eastAsia="zh-CN"/>
              </w:rPr>
            </w:pPr>
          </w:p>
          <w:p>
            <w:pPr>
              <w:pStyle w:val="7"/>
              <w:numPr>
                <w:ilvl w:val="0"/>
                <w:numId w:val="0"/>
              </w:numPr>
              <w:ind w:leftChars="0"/>
              <w:rPr>
                <w:rFonts w:ascii="微软雅黑" w:hAnsi="微软雅黑" w:eastAsia="微软雅黑"/>
                <w:sz w:val="18"/>
                <w:szCs w:val="18"/>
              </w:rPr>
            </w:pPr>
          </w:p>
        </w:tc>
      </w:tr>
    </w:tbl>
    <w:p>
      <w:pPr>
        <w:rPr>
          <w:rFonts w:ascii="微软雅黑" w:hAnsi="微软雅黑" w:eastAsia="微软雅黑"/>
          <w:b/>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33A5FA"/>
    <w:multiLevelType w:val="multilevel"/>
    <w:tmpl w:val="9933A5FA"/>
    <w:lvl w:ilvl="0" w:tentative="0">
      <w:start w:val="1"/>
      <w:numFmt w:val="chineseCounting"/>
      <w:lvlText w:val="%1、"/>
      <w:lvlJc w:val="left"/>
      <w:pPr>
        <w:tabs>
          <w:tab w:val="left" w:pos="432"/>
        </w:tabs>
        <w:ind w:left="432" w:hanging="432"/>
      </w:pPr>
      <w:rPr>
        <w:rFonts w:hint="eastAsia" w:ascii="宋体" w:hAnsi="宋体" w:eastAsia="宋体" w:cs="宋体"/>
      </w:rPr>
    </w:lvl>
    <w:lvl w:ilvl="1" w:tentative="0">
      <w:start w:val="1"/>
      <w:numFmt w:val="decimal"/>
      <w:pStyle w:val="2"/>
      <w:lvlText w:val="%2"/>
      <w:lvlJc w:val="left"/>
      <w:pPr>
        <w:tabs>
          <w:tab w:val="left" w:pos="576"/>
        </w:tabs>
        <w:ind w:left="576" w:hanging="576"/>
      </w:pPr>
      <w:rPr>
        <w:rFonts w:hint="eastAsia" w:ascii="宋体" w:hAnsi="宋体" w:eastAsia="宋体" w:cs="宋体"/>
        <w:sz w:val="32"/>
      </w:rPr>
    </w:lvl>
    <w:lvl w:ilvl="2" w:tentative="0">
      <w:start w:val="1"/>
      <w:numFmt w:val="decimal"/>
      <w:lvlText w:val="%2.%3"/>
      <w:lvlJc w:val="left"/>
      <w:pPr>
        <w:tabs>
          <w:tab w:val="left" w:pos="720"/>
        </w:tabs>
        <w:ind w:left="720" w:hanging="720"/>
      </w:pPr>
      <w:rPr>
        <w:rFonts w:hint="eastAsia" w:ascii="宋体" w:hAnsi="宋体" w:eastAsia="宋体" w:cs="宋体"/>
        <w:color w:val="auto"/>
      </w:rPr>
    </w:lvl>
    <w:lvl w:ilvl="3" w:tentative="0">
      <w:start w:val="1"/>
      <w:numFmt w:val="decimal"/>
      <w:lvlText w:val="%2.%3.%4"/>
      <w:lvlJc w:val="left"/>
      <w:pPr>
        <w:tabs>
          <w:tab w:val="left" w:pos="864"/>
        </w:tabs>
        <w:ind w:left="864" w:hanging="864"/>
      </w:pPr>
      <w:rPr>
        <w:rFonts w:hint="eastAsia" w:ascii="宋体" w:hAnsi="宋体" w:eastAsia="宋体" w:cs="宋体"/>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01FC5612"/>
    <w:multiLevelType w:val="multilevel"/>
    <w:tmpl w:val="01FC561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D33DB8"/>
    <w:multiLevelType w:val="multilevel"/>
    <w:tmpl w:val="17D33DB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3F07023"/>
    <w:multiLevelType w:val="multilevel"/>
    <w:tmpl w:val="23F07023"/>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471A0E5"/>
    <w:multiLevelType w:val="singleLevel"/>
    <w:tmpl w:val="4471A0E5"/>
    <w:lvl w:ilvl="0" w:tentative="0">
      <w:start w:val="4"/>
      <w:numFmt w:val="decimal"/>
      <w:suff w:val="nothing"/>
      <w:lvlText w:val="%1、"/>
      <w:lvlJc w:val="left"/>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C73"/>
    <w:rsid w:val="002434C0"/>
    <w:rsid w:val="00423DEA"/>
    <w:rsid w:val="004475C6"/>
    <w:rsid w:val="00477EF0"/>
    <w:rsid w:val="005152E3"/>
    <w:rsid w:val="0069751B"/>
    <w:rsid w:val="00A86625"/>
    <w:rsid w:val="00AD2887"/>
    <w:rsid w:val="00AF0C73"/>
    <w:rsid w:val="00B53BD3"/>
    <w:rsid w:val="00B65F4B"/>
    <w:rsid w:val="00B81FC5"/>
    <w:rsid w:val="00E24126"/>
    <w:rsid w:val="03A40F35"/>
    <w:rsid w:val="22425123"/>
    <w:rsid w:val="337E5A37"/>
    <w:rsid w:val="38F77B4F"/>
    <w:rsid w:val="58385020"/>
    <w:rsid w:val="58C54A35"/>
    <w:rsid w:val="731772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keepNext/>
      <w:keepLines/>
      <w:numPr>
        <w:ilvl w:val="1"/>
        <w:numId w:val="1"/>
      </w:numPr>
      <w:spacing w:after="260" w:line="360" w:lineRule="auto"/>
      <w:ind w:left="576" w:leftChars="0" w:rightChars="100" w:hanging="576"/>
      <w:outlineLvl w:val="1"/>
    </w:pPr>
    <w:rPr>
      <w:rFonts w:ascii="Arial" w:hAnsi="Arial" w:eastAsia="宋体"/>
      <w:b/>
      <w:bCs/>
      <w:sz w:val="32"/>
      <w:szCs w:val="32"/>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381</Words>
  <Characters>2178</Characters>
  <Lines>18</Lines>
  <Paragraphs>5</Paragraphs>
  <TotalTime>1</TotalTime>
  <ScaleCrop>false</ScaleCrop>
  <LinksUpToDate>false</LinksUpToDate>
  <CharactersWithSpaces>2554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2021-05-12T01:03:00Z</dcterms:created>
  <dc:creator>Xu Peng</dc:creator>
  <cp:lastModifiedBy>大奉</cp:lastModifiedBy>
  <dcterms:modified xsi:type="dcterms:W3CDTF">2021-05-20T06:26:50Z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ACDAF59E71064CE99A632593FC19E97D</vt:lpwstr>
  </property>
</Properties>
</file>